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1B" w:rsidRPr="003D4CB9" w:rsidRDefault="00A84B3D" w:rsidP="00BA48BF">
      <w:pPr>
        <w:spacing w:line="276" w:lineRule="auto"/>
        <w:rPr>
          <w:rFonts w:cs="Adobe Arabic"/>
          <w:b/>
          <w:sz w:val="24"/>
        </w:rPr>
      </w:pPr>
      <w:bookmarkStart w:id="0" w:name="_GoBack"/>
      <w:bookmarkEnd w:id="0"/>
      <w:r>
        <w:rPr>
          <w:b/>
          <w:sz w:val="24"/>
        </w:rPr>
        <w:t>EMO premiere of the TNC7 from HEIDENHAIN: the new level of CNC control</w:t>
      </w:r>
    </w:p>
    <w:p w:rsidR="00B6511B" w:rsidRDefault="00B6511B" w:rsidP="00BA48BF">
      <w:pPr>
        <w:spacing w:line="276" w:lineRule="auto"/>
        <w:ind w:right="-94"/>
        <w:rPr>
          <w:rFonts w:cs="Adobe Arabic"/>
        </w:rPr>
      </w:pPr>
    </w:p>
    <w:p w:rsidR="006B3D39" w:rsidRPr="006B3D39" w:rsidRDefault="00C46426" w:rsidP="00BA48BF">
      <w:pPr>
        <w:spacing w:line="276" w:lineRule="auto"/>
        <w:ind w:right="-94"/>
        <w:rPr>
          <w:rFonts w:cs="Adobe Arabic"/>
          <w:i/>
        </w:rPr>
      </w:pPr>
      <w:r>
        <w:rPr>
          <w:i/>
        </w:rPr>
        <w:t>At EMO 2021, HEIDENHAIN will be entering</w:t>
      </w:r>
      <w:r w:rsidR="002B4166">
        <w:rPr>
          <w:i/>
        </w:rPr>
        <w:t xml:space="preserve"> a new chapter in </w:t>
      </w:r>
      <w:proofErr w:type="spellStart"/>
      <w:r w:rsidR="002B4166">
        <w:rPr>
          <w:i/>
        </w:rPr>
        <w:t>shopfloor</w:t>
      </w:r>
      <w:proofErr w:type="spellEnd"/>
      <w:r w:rsidR="002B4166">
        <w:rPr>
          <w:i/>
        </w:rPr>
        <w:t>-centered m</w:t>
      </w:r>
      <w:r w:rsidR="00B17B48">
        <w:rPr>
          <w:i/>
        </w:rPr>
        <w:t>anufacturing with the new</w:t>
      </w:r>
      <w:r>
        <w:rPr>
          <w:i/>
        </w:rPr>
        <w:t xml:space="preserve"> TNC7. </w:t>
      </w:r>
      <w:r w:rsidR="00B17B48">
        <w:rPr>
          <w:i/>
        </w:rPr>
        <w:t>This standard-setting CNC</w:t>
      </w:r>
      <w:r w:rsidR="002B4166">
        <w:rPr>
          <w:i/>
        </w:rPr>
        <w:t xml:space="preserve"> control</w:t>
      </w:r>
      <w:r>
        <w:rPr>
          <w:i/>
        </w:rPr>
        <w:t xml:space="preserve"> supports users from </w:t>
      </w:r>
      <w:r w:rsidR="00B17B48">
        <w:rPr>
          <w:i/>
        </w:rPr>
        <w:t>initial</w:t>
      </w:r>
      <w:r w:rsidR="002B4166">
        <w:rPr>
          <w:i/>
        </w:rPr>
        <w:t xml:space="preserve"> design to </w:t>
      </w:r>
      <w:r>
        <w:rPr>
          <w:i/>
        </w:rPr>
        <w:t>final machining</w:t>
      </w:r>
      <w:r w:rsidR="002B4166">
        <w:rPr>
          <w:i/>
        </w:rPr>
        <w:t>, from one-off jobs to serial production</w:t>
      </w:r>
      <w:r w:rsidR="00B17B48">
        <w:rPr>
          <w:i/>
        </w:rPr>
        <w:t>,</w:t>
      </w:r>
      <w:r w:rsidR="002B4166">
        <w:rPr>
          <w:i/>
        </w:rPr>
        <w:t xml:space="preserve"> and</w:t>
      </w:r>
      <w:r>
        <w:rPr>
          <w:i/>
        </w:rPr>
        <w:t xml:space="preserve"> from</w:t>
      </w:r>
      <w:r w:rsidR="002B4166">
        <w:rPr>
          <w:i/>
        </w:rPr>
        <w:t xml:space="preserve"> simple</w:t>
      </w:r>
      <w:r>
        <w:rPr>
          <w:i/>
        </w:rPr>
        <w:t xml:space="preserve"> slots to complex contours. </w:t>
      </w:r>
      <w:r w:rsidR="00B17B48">
        <w:rPr>
          <w:i/>
        </w:rPr>
        <w:t>Its</w:t>
      </w:r>
      <w:r w:rsidR="002B4166">
        <w:rPr>
          <w:i/>
        </w:rPr>
        <w:t xml:space="preserve"> groundbreaking control platform lets machine manufacturers a</w:t>
      </w:r>
      <w:r>
        <w:rPr>
          <w:i/>
        </w:rPr>
        <w:t>dapt the</w:t>
      </w:r>
      <w:r w:rsidR="002B4166">
        <w:rPr>
          <w:i/>
        </w:rPr>
        <w:t xml:space="preserve"> user interface to </w:t>
      </w:r>
      <w:r>
        <w:rPr>
          <w:i/>
        </w:rPr>
        <w:t>their machines and offers</w:t>
      </w:r>
      <w:r w:rsidR="002B4166">
        <w:rPr>
          <w:i/>
        </w:rPr>
        <w:t xml:space="preserve"> dynamic development potential for even greater functionality.</w:t>
      </w:r>
    </w:p>
    <w:p w:rsidR="006B3D39" w:rsidRDefault="006B3D39" w:rsidP="00BA48BF">
      <w:pPr>
        <w:spacing w:line="276" w:lineRule="auto"/>
        <w:ind w:right="-94"/>
        <w:rPr>
          <w:rFonts w:cs="Adobe Arabic"/>
        </w:rPr>
      </w:pPr>
    </w:p>
    <w:p w:rsidR="006C22A5" w:rsidRDefault="006C22A5" w:rsidP="00BA48BF">
      <w:pPr>
        <w:spacing w:line="276" w:lineRule="auto"/>
        <w:ind w:right="-94"/>
        <w:rPr>
          <w:rFonts w:cs="Adobe Arabic"/>
        </w:rPr>
      </w:pPr>
    </w:p>
    <w:p w:rsidR="006577EB" w:rsidRPr="006577EB" w:rsidRDefault="002B4166" w:rsidP="00BA48BF">
      <w:pPr>
        <w:spacing w:line="276" w:lineRule="auto"/>
        <w:rPr>
          <w:rFonts w:cs="Adobe Arabic"/>
          <w:b/>
        </w:rPr>
      </w:pPr>
      <w:r>
        <w:rPr>
          <w:b/>
        </w:rPr>
        <w:t>The HEIDENHAIN TNC7: the future of CNC control</w:t>
      </w:r>
    </w:p>
    <w:p w:rsidR="00A84B3D" w:rsidRPr="00A84B3D" w:rsidRDefault="00A84B3D" w:rsidP="00A84B3D">
      <w:pPr>
        <w:spacing w:line="276" w:lineRule="auto"/>
        <w:rPr>
          <w:rFonts w:cs="Adobe Arabic"/>
        </w:rPr>
      </w:pPr>
      <w:r>
        <w:t>The TNC7 from HEIDENHAIN delivers an outst</w:t>
      </w:r>
      <w:r w:rsidR="00C46426">
        <w:t>anding user experience, bringing</w:t>
      </w:r>
      <w:r>
        <w:t xml:space="preserve"> new possibilities to users on the shop floor. Along with easy and intuitiv</w:t>
      </w:r>
      <w:r w:rsidR="00C46426">
        <w:t>e operation, users enjoy support from a</w:t>
      </w:r>
      <w:r>
        <w:t xml:space="preserve"> virtual simulation of the machined part and work envel</w:t>
      </w:r>
      <w:r w:rsidR="00C46426">
        <w:t xml:space="preserve">ope. </w:t>
      </w:r>
      <w:r w:rsidR="00685A38">
        <w:t xml:space="preserve">The </w:t>
      </w:r>
      <w:r w:rsidR="00C46426">
        <w:t>TNC7</w:t>
      </w:r>
      <w:r>
        <w:t xml:space="preserve"> </w:t>
      </w:r>
      <w:r w:rsidR="00685A38">
        <w:t xml:space="preserve">also </w:t>
      </w:r>
      <w:r w:rsidR="00B17B48">
        <w:t>leverages</w:t>
      </w:r>
      <w:r w:rsidR="00685A38">
        <w:t xml:space="preserve"> </w:t>
      </w:r>
      <w:r>
        <w:t>pioneering machining strategies and powerful functions for process reliability and optimizat</w:t>
      </w:r>
      <w:r w:rsidR="00685A38">
        <w:t>ion. This new level of CNC control enhances daily work with</w:t>
      </w:r>
      <w:r>
        <w:t xml:space="preserve"> carefully </w:t>
      </w:r>
      <w:r w:rsidR="00685A38">
        <w:t>crafted, task-focused solutions, combining</w:t>
      </w:r>
      <w:r>
        <w:t xml:space="preserve"> familiar </w:t>
      </w:r>
      <w:proofErr w:type="spellStart"/>
      <w:r>
        <w:t>Klartext</w:t>
      </w:r>
      <w:proofErr w:type="spellEnd"/>
      <w:r>
        <w:t xml:space="preserve"> functionality with newly developed features such as graphical programming. In short, the TNC7 w</w:t>
      </w:r>
      <w:r w:rsidR="00685A38">
        <w:t>as developed to streamline everyday</w:t>
      </w:r>
      <w:r>
        <w:t xml:space="preserve"> work at the machine.</w:t>
      </w:r>
    </w:p>
    <w:p w:rsidR="00A84B3D" w:rsidRPr="00A84B3D" w:rsidRDefault="00A84B3D" w:rsidP="002B4166">
      <w:pPr>
        <w:tabs>
          <w:tab w:val="left" w:pos="3720"/>
        </w:tabs>
        <w:spacing w:line="276" w:lineRule="auto"/>
        <w:rPr>
          <w:rFonts w:cs="Adobe Arabic"/>
        </w:rPr>
      </w:pPr>
    </w:p>
    <w:p w:rsidR="00A84B3D" w:rsidRPr="00A84B3D" w:rsidRDefault="00A84B3D" w:rsidP="00A84B3D">
      <w:pPr>
        <w:spacing w:line="276" w:lineRule="auto"/>
        <w:rPr>
          <w:rFonts w:cs="Adobe Arabic"/>
          <w:b/>
        </w:rPr>
      </w:pPr>
      <w:r>
        <w:rPr>
          <w:b/>
        </w:rPr>
        <w:t xml:space="preserve">Perfect design </w:t>
      </w:r>
    </w:p>
    <w:p w:rsidR="00A84B3D" w:rsidRDefault="00BF4C79" w:rsidP="00A84B3D">
      <w:pPr>
        <w:spacing w:line="276" w:lineRule="auto"/>
        <w:rPr>
          <w:rFonts w:cs="Adobe Arabic"/>
        </w:rPr>
      </w:pPr>
      <w:r>
        <w:t>The TNC7 will be the basis</w:t>
      </w:r>
      <w:r w:rsidR="00A84B3D">
        <w:t xml:space="preserve"> of future </w:t>
      </w:r>
      <w:r>
        <w:t xml:space="preserve">control </w:t>
      </w:r>
      <w:r w:rsidR="00A84B3D">
        <w:t xml:space="preserve">generations </w:t>
      </w:r>
      <w:r>
        <w:t>from HEIDENHAIN. Beyond its</w:t>
      </w:r>
      <w:r w:rsidR="00A84B3D">
        <w:t xml:space="preserve"> unmistakable new look-and-feel</w:t>
      </w:r>
      <w:r>
        <w:t>, the control features</w:t>
      </w:r>
      <w:r w:rsidR="00A84B3D">
        <w:t xml:space="preserve"> high-quality hardware components and </w:t>
      </w:r>
      <w:r>
        <w:t xml:space="preserve">an </w:t>
      </w:r>
      <w:r w:rsidR="00A84B3D">
        <w:t>advanced, individually adaptable us</w:t>
      </w:r>
      <w:r>
        <w:t>er interface. Its</w:t>
      </w:r>
      <w:r w:rsidR="00A84B3D">
        <w:t xml:space="preserve"> </w:t>
      </w:r>
      <w:r>
        <w:t xml:space="preserve">entire </w:t>
      </w:r>
      <w:r w:rsidR="00A84B3D">
        <w:t xml:space="preserve">operating concept was redesigned from </w:t>
      </w:r>
      <w:r>
        <w:t>the ground up. For all tasks</w:t>
      </w:r>
      <w:r w:rsidR="00A84B3D">
        <w:t>, including programming, setup, and part measurement, the TNC7 provides optimal user support and m</w:t>
      </w:r>
      <w:r>
        <w:t>aximum work flexibility wit</w:t>
      </w:r>
      <w:r w:rsidR="00B17B48">
        <w:t>h a rich</w:t>
      </w:r>
      <w:r w:rsidR="00A84B3D">
        <w:t xml:space="preserve"> packet of functions.</w:t>
      </w:r>
    </w:p>
    <w:p w:rsidR="002B4166" w:rsidRDefault="002B4166" w:rsidP="00A84B3D">
      <w:pPr>
        <w:spacing w:line="276" w:lineRule="auto"/>
        <w:rPr>
          <w:rFonts w:cs="Adobe Arabic"/>
        </w:rPr>
      </w:pPr>
    </w:p>
    <w:p w:rsidR="002B4166" w:rsidRPr="00A84B3D" w:rsidRDefault="002B4166" w:rsidP="00A84B3D">
      <w:pPr>
        <w:spacing w:line="276" w:lineRule="auto"/>
        <w:rPr>
          <w:rFonts w:cs="Adobe Arabic"/>
        </w:rPr>
      </w:pPr>
      <w:r>
        <w:rPr>
          <w:b/>
        </w:rPr>
        <w:t>Individually adaptable user interface</w:t>
      </w:r>
    </w:p>
    <w:p w:rsidR="00A84B3D" w:rsidRPr="00A84B3D" w:rsidRDefault="00BF4C79" w:rsidP="00A84B3D">
      <w:pPr>
        <w:spacing w:line="276" w:lineRule="auto"/>
        <w:rPr>
          <w:rFonts w:cs="Adobe Arabic"/>
        </w:rPr>
      </w:pPr>
      <w:r>
        <w:t xml:space="preserve">The interface of the TNC7 was designed to help </w:t>
      </w:r>
      <w:r w:rsidR="00A84B3D">
        <w:t>user</w:t>
      </w:r>
      <w:r>
        <w:t>s</w:t>
      </w:r>
      <w:r w:rsidR="00A84B3D">
        <w:t xml:space="preserve"> a</w:t>
      </w:r>
      <w:r w:rsidR="007677D4">
        <w:t>chieve the best possible result</w:t>
      </w:r>
      <w:r w:rsidR="00A84B3D">
        <w:t xml:space="preserve"> with maximum speed and convenience. Different</w:t>
      </w:r>
      <w:r w:rsidR="00CF3031">
        <w:t xml:space="preserve"> machining</w:t>
      </w:r>
      <w:r w:rsidR="00A84B3D">
        <w:t xml:space="preserve"> tasks call for individualized work</w:t>
      </w:r>
      <w:r>
        <w:t xml:space="preserve"> environments, which is why</w:t>
      </w:r>
      <w:r w:rsidR="00A84B3D">
        <w:t xml:space="preserve"> users can adapt their</w:t>
      </w:r>
      <w:r>
        <w:t xml:space="preserve"> screen content</w:t>
      </w:r>
      <w:r w:rsidR="007677D4">
        <w:t xml:space="preserve"> through personal favorites, </w:t>
      </w:r>
      <w:r w:rsidR="00A84B3D">
        <w:t xml:space="preserve">their own </w:t>
      </w:r>
      <w:r>
        <w:t>home menu</w:t>
      </w:r>
      <w:r w:rsidR="0083380B">
        <w:t xml:space="preserve"> for a faster start</w:t>
      </w:r>
      <w:r>
        <w:t>, and more. As a result, all</w:t>
      </w:r>
      <w:r w:rsidR="00A84B3D">
        <w:t xml:space="preserve"> information and functions </w:t>
      </w:r>
      <w:r>
        <w:t xml:space="preserve">are </w:t>
      </w:r>
      <w:r w:rsidR="00CF3031">
        <w:t>exactly where they need to be</w:t>
      </w:r>
      <w:r w:rsidR="00A84B3D">
        <w:t>.</w:t>
      </w:r>
      <w:r>
        <w:rPr>
          <w:rFonts w:cs="Adobe Arabic"/>
        </w:rPr>
        <w:t xml:space="preserve"> </w:t>
      </w:r>
      <w:r w:rsidR="00A84B3D">
        <w:t>Based on data entry forms and dialog guidance, th</w:t>
      </w:r>
      <w:r>
        <w:t>e user interface ensures optimal</w:t>
      </w:r>
      <w:r w:rsidR="00A84B3D">
        <w:t xml:space="preserve"> convenience and </w:t>
      </w:r>
      <w:r>
        <w:t>navigation</w:t>
      </w:r>
      <w:r w:rsidR="00A84B3D">
        <w:t xml:space="preserve"> aided by a smooth and precise touchscr</w:t>
      </w:r>
      <w:r>
        <w:t>een. And thanks to its fast</w:t>
      </w:r>
      <w:r w:rsidR="00A84B3D">
        <w:t xml:space="preserve"> operating speed, the control reacts immediately to data input</w:t>
      </w:r>
      <w:r>
        <w:t>.</w:t>
      </w:r>
      <w:r w:rsidR="00CF3031">
        <w:t xml:space="preserve"> The</w:t>
      </w:r>
      <w:r w:rsidR="00C568ED">
        <w:t xml:space="preserve"> keyboard was</w:t>
      </w:r>
      <w:r w:rsidR="00CF3031">
        <w:t xml:space="preserve"> also</w:t>
      </w:r>
      <w:r>
        <w:t xml:space="preserve"> redesigned</w:t>
      </w:r>
      <w:r w:rsidR="00A84B3D">
        <w:t xml:space="preserve"> for improved mechanics and optimized key</w:t>
      </w:r>
      <w:r w:rsidR="00CF3031">
        <w:t xml:space="preserve"> resistance for</w:t>
      </w:r>
      <w:r w:rsidR="00C568ED">
        <w:t xml:space="preserve"> </w:t>
      </w:r>
      <w:r>
        <w:t>greater comfort and reliability.</w:t>
      </w:r>
    </w:p>
    <w:p w:rsidR="00A84B3D" w:rsidRPr="00A84B3D" w:rsidRDefault="00A84B3D" w:rsidP="00A84B3D">
      <w:pPr>
        <w:spacing w:line="276" w:lineRule="auto"/>
        <w:rPr>
          <w:rFonts w:cs="Adobe Arabic"/>
        </w:rPr>
      </w:pPr>
    </w:p>
    <w:p w:rsidR="00A84B3D" w:rsidRPr="00A84B3D" w:rsidRDefault="00A84B3D" w:rsidP="00A84B3D">
      <w:pPr>
        <w:spacing w:line="276" w:lineRule="auto"/>
        <w:rPr>
          <w:rFonts w:cs="Adobe Arabic"/>
          <w:b/>
        </w:rPr>
      </w:pPr>
      <w:r>
        <w:rPr>
          <w:b/>
        </w:rPr>
        <w:t>Smart programming</w:t>
      </w:r>
    </w:p>
    <w:p w:rsidR="00A84B3D" w:rsidRPr="00A84B3D" w:rsidRDefault="00A84B3D" w:rsidP="00A84B3D">
      <w:pPr>
        <w:spacing w:line="276" w:lineRule="auto"/>
        <w:rPr>
          <w:rFonts w:cs="Adobe Arabic"/>
        </w:rPr>
      </w:pPr>
      <w:r>
        <w:lastRenderedPageBreak/>
        <w:t xml:space="preserve">The TNC7 enhances familiar </w:t>
      </w:r>
      <w:proofErr w:type="spellStart"/>
      <w:r>
        <w:t>Klartext</w:t>
      </w:r>
      <w:proofErr w:type="spellEnd"/>
      <w:r>
        <w:t xml:space="preserve"> programming with smart functions and newly developed graphical programming. Users are able to draw contours directly on the touchscreen and convert them into dialog-guided TNC </w:t>
      </w:r>
      <w:proofErr w:type="spellStart"/>
      <w:r>
        <w:t>Klartext</w:t>
      </w:r>
      <w:proofErr w:type="spellEnd"/>
      <w:r>
        <w:t xml:space="preserve"> programming </w:t>
      </w:r>
      <w:r w:rsidR="00C568ED">
        <w:t>code</w:t>
      </w:r>
      <w:r>
        <w:t>. Cycles and older contour programs can still be used, including already existing NC programs.</w:t>
      </w:r>
      <w:r w:rsidR="00C568ED">
        <w:rPr>
          <w:rFonts w:cs="Adobe Arabic"/>
        </w:rPr>
        <w:t xml:space="preserve"> </w:t>
      </w:r>
      <w:r w:rsidR="00CF3031">
        <w:t>The TNC7 supports</w:t>
      </w:r>
      <w:r>
        <w:t xml:space="preserve"> the entire manufacturing process from </w:t>
      </w:r>
      <w:r w:rsidR="0083380B">
        <w:t>initial design to the finished part</w:t>
      </w:r>
      <w:r w:rsidR="00C568ED">
        <w:t xml:space="preserve"> with carefully crafted</w:t>
      </w:r>
      <w:r>
        <w:t xml:space="preserve"> solutions. These include a diverse package of function</w:t>
      </w:r>
      <w:r w:rsidR="00C568ED">
        <w:t>s, intelligent probing cycles</w:t>
      </w:r>
      <w:r>
        <w:t xml:space="preserve">, </w:t>
      </w:r>
      <w:r w:rsidR="0083380B">
        <w:t>and graphical guidance for determining the position</w:t>
      </w:r>
      <w:r>
        <w:t xml:space="preserve"> of clamping devices. A new, high-perform</w:t>
      </w:r>
      <w:r w:rsidR="00CF3031">
        <w:t>ance editor function enables</w:t>
      </w:r>
      <w:r>
        <w:t xml:space="preserve"> fast and reliable editing of even complex NC programs. Perfect visualization of the machined part</w:t>
      </w:r>
      <w:r w:rsidR="00C568ED">
        <w:t xml:space="preserve"> and work envelope make daily</w:t>
      </w:r>
      <w:r w:rsidR="0083380B">
        <w:t xml:space="preserve"> work</w:t>
      </w:r>
      <w:r w:rsidR="00C568ED">
        <w:t xml:space="preserve"> easier, and p</w:t>
      </w:r>
      <w:r>
        <w:t xml:space="preserve">rograms can be simulated at any </w:t>
      </w:r>
      <w:r w:rsidR="00C568ED">
        <w:t>point without a change</w:t>
      </w:r>
      <w:r>
        <w:t xml:space="preserve"> in operating mode.</w:t>
      </w:r>
    </w:p>
    <w:p w:rsidR="00A84B3D" w:rsidRPr="00A84B3D" w:rsidRDefault="00A84B3D" w:rsidP="00A84B3D">
      <w:pPr>
        <w:spacing w:line="276" w:lineRule="auto"/>
        <w:rPr>
          <w:rFonts w:cs="Adobe Arabic"/>
        </w:rPr>
      </w:pPr>
    </w:p>
    <w:p w:rsidR="00A84B3D" w:rsidRPr="00A84B3D" w:rsidRDefault="002B4166" w:rsidP="00A84B3D">
      <w:pPr>
        <w:spacing w:line="276" w:lineRule="auto"/>
        <w:rPr>
          <w:rFonts w:cs="Adobe Arabic"/>
          <w:b/>
        </w:rPr>
      </w:pPr>
      <w:r>
        <w:rPr>
          <w:b/>
        </w:rPr>
        <w:t>Dynamic Collision Monitoring (DCM): the next generation</w:t>
      </w:r>
    </w:p>
    <w:p w:rsidR="00A84B3D" w:rsidRPr="00A84B3D" w:rsidRDefault="001C6F6E" w:rsidP="00A84B3D">
      <w:pPr>
        <w:spacing w:line="276" w:lineRule="auto"/>
        <w:rPr>
          <w:rFonts w:cs="Adobe Arabic"/>
        </w:rPr>
      </w:pPr>
      <w:r>
        <w:t>Users can enjoy</w:t>
      </w:r>
      <w:r w:rsidR="00A84B3D">
        <w:t xml:space="preserve"> com</w:t>
      </w:r>
      <w:r w:rsidR="00C568ED">
        <w:t>plete machine protection thanks to</w:t>
      </w:r>
      <w:r w:rsidR="00A84B3D">
        <w:t xml:space="preserve"> the monitoring of machine elements, tools, and clamping devices. The TNC7 includes the next generation of Dynamic Collisi</w:t>
      </w:r>
      <w:r w:rsidR="00C568ED">
        <w:t xml:space="preserve">on Monitoring (DCM). </w:t>
      </w:r>
      <w:r>
        <w:t>Along with</w:t>
      </w:r>
      <w:r w:rsidR="00C568ED">
        <w:t xml:space="preserve"> preventing</w:t>
      </w:r>
      <w:r w:rsidR="00A84B3D">
        <w:t xml:space="preserve"> collisions between machine components and tools</w:t>
      </w:r>
      <w:r w:rsidR="00C568ED">
        <w:t>, DCM now</w:t>
      </w:r>
      <w:r w:rsidR="00A84B3D">
        <w:t xml:space="preserve"> also</w:t>
      </w:r>
      <w:r w:rsidR="00C568ED">
        <w:t xml:space="preserve"> accounts for </w:t>
      </w:r>
      <w:r w:rsidR="00A84B3D">
        <w:t xml:space="preserve">clamping devices: </w:t>
      </w:r>
      <w:r>
        <w:t>the user can</w:t>
      </w:r>
      <w:r w:rsidR="00A84B3D">
        <w:t xml:space="preserve"> i</w:t>
      </w:r>
      <w:r w:rsidR="00C568ED">
        <w:t>mport</w:t>
      </w:r>
      <w:r w:rsidR="00A84B3D">
        <w:t xml:space="preserve"> 3D file</w:t>
      </w:r>
      <w:r w:rsidR="00C568ED">
        <w:t>s of</w:t>
      </w:r>
      <w:r>
        <w:t xml:space="preserve"> </w:t>
      </w:r>
      <w:r w:rsidR="00C568ED">
        <w:t>clamping devices</w:t>
      </w:r>
      <w:r>
        <w:t xml:space="preserve"> and </w:t>
      </w:r>
      <w:r w:rsidR="00A84B3D">
        <w:t>define the</w:t>
      </w:r>
      <w:r w:rsidR="00C568ED">
        <w:t xml:space="preserve">ir position </w:t>
      </w:r>
      <w:r>
        <w:t>with</w:t>
      </w:r>
      <w:r w:rsidR="00A84B3D">
        <w:t xml:space="preserve"> new graphical</w:t>
      </w:r>
      <w:r w:rsidR="00C568ED">
        <w:t xml:space="preserve"> support. C</w:t>
      </w:r>
      <w:r w:rsidR="00A84B3D">
        <w:t xml:space="preserve">ollision protection </w:t>
      </w:r>
      <w:r w:rsidR="00C568ED">
        <w:t xml:space="preserve">is provided </w:t>
      </w:r>
      <w:r w:rsidR="00A84B3D">
        <w:t xml:space="preserve">in both manual and automatic mode. </w:t>
      </w:r>
      <w:r w:rsidR="00C568ED">
        <w:t>Collisions</w:t>
      </w:r>
      <w:r w:rsidR="00A84B3D">
        <w:t xml:space="preserve"> can also be detected prior to machining with the </w:t>
      </w:r>
      <w:r>
        <w:t>control’s program test</w:t>
      </w:r>
      <w:r w:rsidR="00A84B3D">
        <w:t xml:space="preserve"> functionality. With it, the TNC7 realistically simulates the behavior of the workp</w:t>
      </w:r>
      <w:r w:rsidR="00C568ED">
        <w:t>iece, tool, and clamping device</w:t>
      </w:r>
      <w:r w:rsidR="00A84B3D">
        <w:t xml:space="preserve"> in high-resolution 3D graphics.</w:t>
      </w:r>
    </w:p>
    <w:p w:rsidR="00B62AB4" w:rsidRDefault="00B62AB4" w:rsidP="00A84B3D">
      <w:pPr>
        <w:spacing w:line="276" w:lineRule="auto"/>
        <w:rPr>
          <w:rFonts w:cs="Adobe Arabic"/>
        </w:rPr>
      </w:pPr>
    </w:p>
    <w:p w:rsidR="00B62AB4" w:rsidRPr="00A84B3D" w:rsidRDefault="00B62AB4" w:rsidP="00B62AB4">
      <w:pPr>
        <w:spacing w:line="276" w:lineRule="auto"/>
        <w:rPr>
          <w:rFonts w:cs="Adobe Arabic"/>
          <w:b/>
        </w:rPr>
      </w:pPr>
      <w:r>
        <w:rPr>
          <w:b/>
        </w:rPr>
        <w:t>TNC Component Monitoring</w:t>
      </w:r>
      <w:r w:rsidR="001C6F6E">
        <w:rPr>
          <w:b/>
        </w:rPr>
        <w:t>: protect</w:t>
      </w:r>
      <w:r>
        <w:rPr>
          <w:b/>
        </w:rPr>
        <w:t xml:space="preserve"> the machine tool</w:t>
      </w:r>
    </w:p>
    <w:p w:rsidR="00A84B3D" w:rsidRPr="00A84B3D" w:rsidRDefault="00A84B3D" w:rsidP="00A84B3D">
      <w:pPr>
        <w:spacing w:line="276" w:lineRule="auto"/>
        <w:rPr>
          <w:rFonts w:cs="Adobe Arabic"/>
        </w:rPr>
      </w:pPr>
      <w:r>
        <w:t>TNC Component Monitoring is a t</w:t>
      </w:r>
      <w:r w:rsidR="00C568ED">
        <w:t>oolbox allowing</w:t>
      </w:r>
      <w:r>
        <w:t xml:space="preserve"> machine manufacturers </w:t>
      </w:r>
      <w:r w:rsidR="00C568ED">
        <w:t xml:space="preserve">to </w:t>
      </w:r>
      <w:r>
        <w:t xml:space="preserve">implement extensive monitoring functions. During machining, this function protects the </w:t>
      </w:r>
      <w:r w:rsidR="00C568ED">
        <w:t>spindle bearing from overloads</w:t>
      </w:r>
      <w:r w:rsidR="001C6F6E">
        <w:t>, detects heightened</w:t>
      </w:r>
      <w:r>
        <w:t xml:space="preserve"> component wear in the drive chain, and more. It also delivers valuable data about actual </w:t>
      </w:r>
      <w:r w:rsidR="00C568ED">
        <w:t xml:space="preserve">machine </w:t>
      </w:r>
      <w:r>
        <w:t>loads</w:t>
      </w:r>
      <w:r w:rsidR="001C6F6E">
        <w:t>, letting users</w:t>
      </w:r>
      <w:r>
        <w:t xml:space="preserve"> evalua</w:t>
      </w:r>
      <w:r w:rsidR="001C6F6E">
        <w:t>te process capability and plan interventions as part</w:t>
      </w:r>
      <w:r>
        <w:t xml:space="preserve"> </w:t>
      </w:r>
      <w:r w:rsidR="0083380B">
        <w:t xml:space="preserve">of </w:t>
      </w:r>
      <w:r>
        <w:t>predictive maintenance. The TNC Component Monitoring function can also record and display the amount of wear on the recirculatin</w:t>
      </w:r>
      <w:r w:rsidR="0083380B">
        <w:t>g ball screw or even warn users</w:t>
      </w:r>
      <w:r>
        <w:t xml:space="preserve"> about spindle overloads.</w:t>
      </w:r>
    </w:p>
    <w:p w:rsidR="00B62AB4" w:rsidRDefault="00B62AB4" w:rsidP="00A84B3D">
      <w:pPr>
        <w:spacing w:line="276" w:lineRule="auto"/>
        <w:rPr>
          <w:rFonts w:cs="Adobe Arabic"/>
        </w:rPr>
      </w:pPr>
    </w:p>
    <w:p w:rsidR="00B62AB4" w:rsidRDefault="00B62AB4" w:rsidP="00A84B3D">
      <w:pPr>
        <w:spacing w:line="276" w:lineRule="auto"/>
        <w:rPr>
          <w:rFonts w:cs="Adobe Arabic"/>
          <w:b/>
        </w:rPr>
      </w:pPr>
      <w:r>
        <w:rPr>
          <w:b/>
        </w:rPr>
        <w:t>TNC Process Monitoring: manufacture with reliability</w:t>
      </w:r>
    </w:p>
    <w:p w:rsidR="00A84B3D" w:rsidRDefault="00A84B3D" w:rsidP="00A84B3D">
      <w:pPr>
        <w:spacing w:line="276" w:lineRule="auto"/>
        <w:rPr>
          <w:rFonts w:cs="Adobe Arabic"/>
        </w:rPr>
      </w:pPr>
      <w:r>
        <w:t xml:space="preserve">The new, built-in TNC Process Monitoring function </w:t>
      </w:r>
      <w:r w:rsidR="001C6F6E">
        <w:t>reliably detects process irregularities</w:t>
      </w:r>
      <w:r w:rsidR="00C568ED">
        <w:t xml:space="preserve"> based on deviations from a reference machining run</w:t>
      </w:r>
      <w:r>
        <w:t>. The u</w:t>
      </w:r>
      <w:r w:rsidR="00C568ED">
        <w:t>ser controls this monitoring</w:t>
      </w:r>
      <w:r w:rsidR="001C6F6E">
        <w:t xml:space="preserve"> feature</w:t>
      </w:r>
      <w:r w:rsidR="00C568ED">
        <w:t xml:space="preserve"> with</w:t>
      </w:r>
      <w:r>
        <w:t xml:space="preserve"> </w:t>
      </w:r>
      <w:proofErr w:type="spellStart"/>
      <w:r>
        <w:t>Klartext</w:t>
      </w:r>
      <w:proofErr w:type="spellEnd"/>
      <w:r>
        <w:t xml:space="preserve"> syntax and an intuitive user interface. Process Monitoring requires no additional sensors and ensures depen</w:t>
      </w:r>
      <w:r w:rsidR="00C568ED">
        <w:t>dable process quality. When combined with</w:t>
      </w:r>
      <w:r>
        <w:t xml:space="preserve"> high-resolution sensors such as the ERM 6000 </w:t>
      </w:r>
      <w:proofErr w:type="spellStart"/>
      <w:r>
        <w:t>D</w:t>
      </w:r>
      <w:r>
        <w:rPr>
          <w:i/>
        </w:rPr>
        <w:t>plus</w:t>
      </w:r>
      <w:proofErr w:type="spellEnd"/>
      <w:r w:rsidR="00C568ED">
        <w:t xml:space="preserve">, </w:t>
      </w:r>
      <w:r>
        <w:t xml:space="preserve">Process Monitoring </w:t>
      </w:r>
      <w:r w:rsidR="001C6F6E">
        <w:t xml:space="preserve">is even </w:t>
      </w:r>
      <w:r w:rsidR="0093370F">
        <w:t>more effective</w:t>
      </w:r>
      <w:r w:rsidR="0083380B">
        <w:t xml:space="preserve"> for</w:t>
      </w:r>
      <w:r>
        <w:t xml:space="preserve"> highly demanding applications. This enables </w:t>
      </w:r>
      <w:r w:rsidR="0093370F">
        <w:t xml:space="preserve">the </w:t>
      </w:r>
      <w:r>
        <w:t>convenien</w:t>
      </w:r>
      <w:r w:rsidR="00C568ED">
        <w:t>t control of process outcomes</w:t>
      </w:r>
      <w:r>
        <w:t xml:space="preserve"> and </w:t>
      </w:r>
      <w:r w:rsidR="00C568ED">
        <w:t>maintains</w:t>
      </w:r>
      <w:r>
        <w:t xml:space="preserve"> productivity</w:t>
      </w:r>
      <w:r w:rsidR="00832D8D">
        <w:t xml:space="preserve"> thanks to a variety of configurable</w:t>
      </w:r>
      <w:r>
        <w:t xml:space="preserve"> reactio</w:t>
      </w:r>
      <w:r w:rsidR="00C568ED">
        <w:t>ns, such as switching out a tool.</w:t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D4CB9" w:rsidTr="00281C45">
        <w:tc>
          <w:tcPr>
            <w:tcW w:w="4677" w:type="dxa"/>
            <w:vAlign w:val="bottom"/>
          </w:tcPr>
          <w:p w:rsidR="003D4CB9" w:rsidRPr="003D4CB9" w:rsidRDefault="00A84B3D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4D9982B6" wp14:editId="15385769">
                  <wp:extent cx="2861945" cy="2793365"/>
                  <wp:effectExtent l="0" t="0" r="0" b="698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IDENHAIN_1_NEW-TNC7-control-and-machine_CMYK.jp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279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3D4CB9" w:rsidRPr="003D4CB9" w:rsidRDefault="00A84B3D" w:rsidP="00A84B3D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The TNC7 has undergone a complete makeover, now with more powerful hardware and a 24-inch anti-reflective HD screen.</w:t>
            </w:r>
          </w:p>
        </w:tc>
      </w:tr>
      <w:tr w:rsidR="00A84B3D" w:rsidRPr="003D4CB9" w:rsidTr="00281C45">
        <w:tc>
          <w:tcPr>
            <w:tcW w:w="4677" w:type="dxa"/>
            <w:vAlign w:val="bottom"/>
          </w:tcPr>
          <w:p w:rsidR="00A84B3D" w:rsidRPr="003D4CB9" w:rsidRDefault="006F4F9C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w:drawing>
                <wp:inline distT="0" distB="0" distL="0" distR="0" wp14:anchorId="2D7E2213" wp14:editId="5AEDFEF4">
                  <wp:extent cx="2862000" cy="1431158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EIDENHAIN_2_New-TNC7-software_CMYK.jp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000" cy="1431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A84B3D" w:rsidRPr="00A84B3D" w:rsidRDefault="00A84B3D" w:rsidP="00A84B3D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User guidance has been redesigned as well: the</w:t>
            </w:r>
            <w:r w:rsidR="0083380B">
              <w:rPr>
                <w:i/>
              </w:rPr>
              <w:t xml:space="preserve"> TNC7 can be </w:t>
            </w:r>
            <w:r w:rsidR="001C6F6E">
              <w:rPr>
                <w:i/>
              </w:rPr>
              <w:t xml:space="preserve">operated </w:t>
            </w:r>
            <w:r w:rsidR="0083380B">
              <w:rPr>
                <w:i/>
              </w:rPr>
              <w:t xml:space="preserve">entirely </w:t>
            </w:r>
            <w:r w:rsidR="001C6F6E">
              <w:rPr>
                <w:i/>
              </w:rPr>
              <w:t xml:space="preserve">via </w:t>
            </w:r>
            <w:r>
              <w:rPr>
                <w:i/>
              </w:rPr>
              <w:t xml:space="preserve">touchscreen. </w:t>
            </w:r>
            <w:proofErr w:type="spellStart"/>
            <w:r>
              <w:rPr>
                <w:i/>
              </w:rPr>
              <w:t>Klartext</w:t>
            </w:r>
            <w:proofErr w:type="spellEnd"/>
            <w:r w:rsidR="001C6F6E">
              <w:rPr>
                <w:i/>
              </w:rPr>
              <w:t xml:space="preserve"> remains the standard</w:t>
            </w:r>
            <w:r>
              <w:rPr>
                <w:i/>
              </w:rPr>
              <w:t xml:space="preserve"> data and output</w:t>
            </w:r>
            <w:r w:rsidR="001C6F6E">
              <w:rPr>
                <w:i/>
              </w:rPr>
              <w:t xml:space="preserve"> format</w:t>
            </w:r>
            <w:r>
              <w:rPr>
                <w:i/>
              </w:rPr>
              <w:t>.</w:t>
            </w:r>
          </w:p>
        </w:tc>
      </w:tr>
      <w:tr w:rsidR="00A84B3D" w:rsidRPr="003D4CB9" w:rsidTr="00281C45">
        <w:tc>
          <w:tcPr>
            <w:tcW w:w="4677" w:type="dxa"/>
            <w:vAlign w:val="bottom"/>
          </w:tcPr>
          <w:p w:rsidR="00A84B3D" w:rsidRPr="003D4CB9" w:rsidRDefault="006F4F9C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w:drawing>
                <wp:inline distT="0" distB="0" distL="0" distR="0" wp14:anchorId="775ABE7D" wp14:editId="6F4AB82B">
                  <wp:extent cx="2862000" cy="190821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IDENHAIN_3_New-TNC7-smart-functions-intuitive-work_CMYK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000" cy="1908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A84B3D" w:rsidRPr="00A84B3D" w:rsidRDefault="00A84B3D" w:rsidP="00A84B3D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The TNC7 supports the user with carefully cra</w:t>
            </w:r>
            <w:r w:rsidR="0093370F">
              <w:rPr>
                <w:i/>
              </w:rPr>
              <w:t>fted solutions, including a rich</w:t>
            </w:r>
            <w:r>
              <w:rPr>
                <w:i/>
              </w:rPr>
              <w:t xml:space="preserve"> package of cycles, smart probing functions, and</w:t>
            </w:r>
            <w:r w:rsidR="0083380B">
              <w:rPr>
                <w:i/>
              </w:rPr>
              <w:t xml:space="preserve"> graphical guidance for determining the position</w:t>
            </w:r>
            <w:r>
              <w:rPr>
                <w:i/>
              </w:rPr>
              <w:t xml:space="preserve"> of clamping devices.</w:t>
            </w:r>
          </w:p>
        </w:tc>
      </w:tr>
      <w:tr w:rsidR="00A84B3D" w:rsidRPr="003D4CB9" w:rsidTr="00281C45">
        <w:tc>
          <w:tcPr>
            <w:tcW w:w="4677" w:type="dxa"/>
            <w:vAlign w:val="bottom"/>
          </w:tcPr>
          <w:p w:rsidR="00A84B3D" w:rsidRPr="003D4CB9" w:rsidRDefault="006F4F9C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w:drawing>
                <wp:inline distT="0" distB="0" distL="0" distR="0" wp14:anchorId="20884614" wp14:editId="26F53BDE">
                  <wp:extent cx="2862000" cy="1907895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IDENHAIN_4_New-TNC7-newly-developed-keyboard_CMYK.jp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000" cy="190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A84B3D" w:rsidRPr="00A84B3D" w:rsidRDefault="00A84B3D" w:rsidP="006355EE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The new keyboard of the TNC7 enhances ergonomics for the user, with an improved mechanical design and optimized key resistance.</w:t>
            </w:r>
          </w:p>
        </w:tc>
      </w:tr>
      <w:tr w:rsidR="00A84B3D" w:rsidRPr="003D4CB9" w:rsidTr="00281C45">
        <w:tc>
          <w:tcPr>
            <w:tcW w:w="4677" w:type="dxa"/>
            <w:vAlign w:val="bottom"/>
          </w:tcPr>
          <w:p w:rsidR="00A84B3D" w:rsidRPr="003D4CB9" w:rsidRDefault="006F4F9C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w:lastRenderedPageBreak/>
              <w:drawing>
                <wp:inline distT="0" distB="0" distL="0" distR="0" wp14:anchorId="29067BE2" wp14:editId="78CB4478">
                  <wp:extent cx="2861467" cy="1829481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EIDENHAIN_5_New-TNC7-control-customizable-user-interface_CMYK.jpg"/>
                          <pic:cNvPicPr/>
                        </pic:nvPicPr>
                        <pic:blipFill rotWithShape="1"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4092"/>
                          <a:stretch/>
                        </pic:blipFill>
                        <pic:spPr bwMode="auto">
                          <a:xfrm>
                            <a:off x="0" y="0"/>
                            <a:ext cx="2862000" cy="18298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A84B3D" w:rsidRPr="00A84B3D" w:rsidRDefault="00A84B3D" w:rsidP="00832D8D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Users of t</w:t>
            </w:r>
            <w:r w:rsidR="00832D8D">
              <w:rPr>
                <w:i/>
              </w:rPr>
              <w:t>he TNC7 can adapt workspaces</w:t>
            </w:r>
            <w:r>
              <w:rPr>
                <w:i/>
              </w:rPr>
              <w:t xml:space="preserve"> and store favorites, arranging all information and functio</w:t>
            </w:r>
            <w:r w:rsidR="00832D8D">
              <w:rPr>
                <w:i/>
              </w:rPr>
              <w:t>ns to exactly where they need to be</w:t>
            </w:r>
            <w:r>
              <w:rPr>
                <w:i/>
              </w:rPr>
              <w:t xml:space="preserve"> for the given working step.</w:t>
            </w:r>
          </w:p>
        </w:tc>
      </w:tr>
      <w:tr w:rsidR="00A84B3D" w:rsidRPr="003D4CB9" w:rsidTr="00281C45">
        <w:tc>
          <w:tcPr>
            <w:tcW w:w="4677" w:type="dxa"/>
            <w:vAlign w:val="bottom"/>
          </w:tcPr>
          <w:p w:rsidR="00A84B3D" w:rsidRPr="003D4CB9" w:rsidRDefault="006F4F9C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w:drawing>
                <wp:inline distT="0" distB="0" distL="0" distR="0" wp14:anchorId="290EB8B7" wp14:editId="34D1078B">
                  <wp:extent cx="2861467" cy="1672683"/>
                  <wp:effectExtent l="0" t="0" r="0" b="381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EIDENHAIN_6_New-TNC7-contol-in-progress_CMYK.jpg"/>
                          <pic:cNvPicPr/>
                        </pic:nvPicPr>
                        <pic:blipFill rotWithShape="1"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12312"/>
                          <a:stretch/>
                        </pic:blipFill>
                        <pic:spPr bwMode="auto">
                          <a:xfrm>
                            <a:off x="0" y="0"/>
                            <a:ext cx="2862000" cy="1672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A84B3D" w:rsidRPr="00A84B3D" w:rsidRDefault="00A84B3D" w:rsidP="002B4166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The TNC7 supports the user from ini</w:t>
            </w:r>
            <w:r w:rsidR="00832D8D">
              <w:rPr>
                <w:i/>
              </w:rPr>
              <w:t>tial design to the finished part</w:t>
            </w:r>
            <w:r>
              <w:rPr>
                <w:i/>
              </w:rPr>
              <w:t>.</w:t>
            </w:r>
          </w:p>
        </w:tc>
      </w:tr>
      <w:tr w:rsidR="00A84B3D" w:rsidRPr="003D4CB9" w:rsidTr="00281C45">
        <w:tc>
          <w:tcPr>
            <w:tcW w:w="4677" w:type="dxa"/>
            <w:vAlign w:val="bottom"/>
          </w:tcPr>
          <w:p w:rsidR="00A84B3D" w:rsidRPr="003D4CB9" w:rsidRDefault="006F4F9C" w:rsidP="00BA48BF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sz w:val="20"/>
                <w:szCs w:val="20"/>
                <w:lang w:val="de-DE" w:eastAsia="de-DE"/>
              </w:rPr>
              <w:drawing>
                <wp:inline distT="0" distB="0" distL="0" distR="0" wp14:anchorId="521B28C6" wp14:editId="76F8267E">
                  <wp:extent cx="2861945" cy="1784195"/>
                  <wp:effectExtent l="0" t="0" r="0" b="698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EIDENHAIN_7_New-TNC7-contol-with-TNC7-workpiece_CMYK.jpg"/>
                          <pic:cNvPicPr/>
                        </pic:nvPicPr>
                        <pic:blipFill rotWithShape="1"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6497"/>
                          <a:stretch/>
                        </pic:blipFill>
                        <pic:spPr bwMode="auto">
                          <a:xfrm>
                            <a:off x="0" y="0"/>
                            <a:ext cx="2862000" cy="1784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A84B3D" w:rsidRPr="00A84B3D" w:rsidRDefault="0083380B" w:rsidP="00A84B3D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Its</w:t>
            </w:r>
            <w:r w:rsidR="00A84B3D">
              <w:rPr>
                <w:i/>
              </w:rPr>
              <w:t xml:space="preserve"> fully integrated TNC Component and Process Monitoring functions require no extra sensors, reliably detect deviations from reference machining, and ensure reliable process quality.</w:t>
            </w:r>
          </w:p>
        </w:tc>
      </w:tr>
      <w:tr w:rsidR="006C22A5" w:rsidRPr="003D4CB9" w:rsidTr="00F6202A">
        <w:tc>
          <w:tcPr>
            <w:tcW w:w="4677" w:type="dxa"/>
          </w:tcPr>
          <w:p w:rsidR="006C22A5" w:rsidRDefault="006C22A5" w:rsidP="006C22A5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</w:p>
          <w:p w:rsidR="006C22A5" w:rsidRDefault="003A7BBA" w:rsidP="006C22A5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zCs w:val="18"/>
                <w:shd w:val="clear" w:color="auto" w:fill="FFFFFF"/>
              </w:rPr>
              <w:t>HEIDENHAIN at EMO Milano:</w:t>
            </w:r>
          </w:p>
          <w:p w:rsidR="006C22A5" w:rsidRDefault="00832D8D" w:rsidP="00832D8D">
            <w:pPr>
              <w:spacing w:line="276" w:lineRule="auto"/>
              <w:rPr>
                <w:rFonts w:cs="Adobe Arabic"/>
                <w:noProof/>
              </w:rPr>
            </w:pPr>
            <w:r>
              <w:rPr>
                <w:b/>
                <w:color w:val="333333"/>
                <w:szCs w:val="18"/>
                <w:shd w:val="clear" w:color="auto" w:fill="FFFFFF"/>
              </w:rPr>
              <w:t>Oct. 4 – 9, 2021, Hall</w:t>
            </w:r>
            <w:r w:rsidR="006C22A5">
              <w:rPr>
                <w:b/>
                <w:color w:val="333333"/>
                <w:szCs w:val="18"/>
                <w:shd w:val="clear" w:color="auto" w:fill="FFFFFF"/>
              </w:rPr>
              <w:t xml:space="preserve"> 7, Booth F05</w:t>
            </w:r>
          </w:p>
        </w:tc>
        <w:tc>
          <w:tcPr>
            <w:tcW w:w="4677" w:type="dxa"/>
          </w:tcPr>
          <w:p w:rsidR="006C22A5" w:rsidRDefault="006C22A5" w:rsidP="006C22A5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</w:p>
          <w:p w:rsidR="006C22A5" w:rsidRDefault="006C22A5" w:rsidP="006C22A5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b/>
                <w:color w:val="333333"/>
                <w:szCs w:val="18"/>
                <w:shd w:val="clear" w:color="auto" w:fill="FFFFFF"/>
              </w:rPr>
              <w:t>Virtual EMO from HEIDENHAIN:</w:t>
            </w:r>
          </w:p>
          <w:p w:rsidR="006C22A5" w:rsidRDefault="0093370F" w:rsidP="006C22A5">
            <w:pPr>
              <w:spacing w:line="276" w:lineRule="auto"/>
              <w:rPr>
                <w:rFonts w:cs="Adobe Arabic"/>
                <w:i/>
              </w:rPr>
            </w:pPr>
            <w:r>
              <w:rPr>
                <w:b/>
                <w:color w:val="333333"/>
                <w:szCs w:val="18"/>
                <w:shd w:val="clear" w:color="auto" w:fill="FFFFFF"/>
              </w:rPr>
              <w:t>Live sessions on</w:t>
            </w:r>
            <w:r w:rsidR="00832D8D">
              <w:rPr>
                <w:b/>
                <w:color w:val="333333"/>
                <w:szCs w:val="18"/>
                <w:shd w:val="clear" w:color="auto" w:fill="FFFFFF"/>
              </w:rPr>
              <w:t xml:space="preserve"> Oct. 11 – </w:t>
            </w:r>
            <w:r w:rsidR="006C22A5">
              <w:rPr>
                <w:b/>
                <w:color w:val="333333"/>
                <w:szCs w:val="18"/>
                <w:shd w:val="clear" w:color="auto" w:fill="FFFFFF"/>
              </w:rPr>
              <w:t>29, 2021</w:t>
            </w:r>
          </w:p>
        </w:tc>
      </w:tr>
      <w:tr w:rsidR="006C22A5" w:rsidRPr="003D4CB9" w:rsidTr="00F6202A">
        <w:tc>
          <w:tcPr>
            <w:tcW w:w="4677" w:type="dxa"/>
          </w:tcPr>
          <w:p w:rsidR="006C22A5" w:rsidRPr="00CA2992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</w:p>
          <w:p w:rsidR="006C22A5" w:rsidRPr="00CA2992" w:rsidRDefault="003A7BBA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For more information, visit:</w:t>
            </w:r>
          </w:p>
          <w:p w:rsidR="006C22A5" w:rsidRPr="00CA2992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proofErr w:type="gramStart"/>
            <w:r>
              <w:rPr>
                <w:rStyle w:val="Hyperlink"/>
                <w:iCs/>
                <w:sz w:val="20"/>
                <w:szCs w:val="20"/>
              </w:rPr>
              <w:t>live</w:t>
            </w:r>
            <w:proofErr w:type="gramEnd"/>
            <w:r>
              <w:rPr>
                <w:rStyle w:val="Hyperlink"/>
                <w:iCs/>
                <w:sz w:val="20"/>
                <w:szCs w:val="20"/>
              </w:rPr>
              <w:t>.</w:t>
            </w:r>
            <w:hyperlink r:id="rId15" w:history="1">
              <w:r>
                <w:rPr>
                  <w:rStyle w:val="Hyperlink"/>
                  <w:iCs/>
                  <w:sz w:val="20"/>
                  <w:szCs w:val="20"/>
                </w:rPr>
                <w:t>heidenhain</w:t>
              </w:r>
            </w:hyperlink>
            <w:r>
              <w:rPr>
                <w:rStyle w:val="Hyperlink"/>
                <w:iCs/>
                <w:sz w:val="20"/>
                <w:szCs w:val="20"/>
              </w:rPr>
              <w:t>.com</w:t>
            </w:r>
          </w:p>
          <w:p w:rsidR="006C22A5" w:rsidRPr="00CA2992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r>
              <w:rPr>
                <w:rStyle w:val="Hyperlink"/>
                <w:iCs/>
                <w:sz w:val="20"/>
                <w:szCs w:val="20"/>
              </w:rPr>
              <w:t>www.heidenhain.de/tnc7</w:t>
            </w:r>
          </w:p>
          <w:p w:rsidR="006C22A5" w:rsidRPr="00CA2992" w:rsidRDefault="00CF2D57" w:rsidP="006C22A5">
            <w:pPr>
              <w:autoSpaceDE w:val="0"/>
              <w:autoSpaceDN w:val="0"/>
              <w:adjustRightInd w:val="0"/>
              <w:spacing w:line="276" w:lineRule="auto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16" w:history="1">
              <w:r w:rsidR="00B25724">
                <w:rPr>
                  <w:rStyle w:val="Hyperlink"/>
                  <w:iCs/>
                  <w:sz w:val="20"/>
                  <w:szCs w:val="20"/>
                </w:rPr>
                <w:t>www.heidenhain.de</w:t>
              </w:r>
            </w:hyperlink>
          </w:p>
          <w:p w:rsidR="006C22A5" w:rsidRPr="00CA2992" w:rsidRDefault="006C22A5" w:rsidP="00CA2992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:rsidR="006C22A5" w:rsidRDefault="006C22A5" w:rsidP="006C22A5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</w:p>
        </w:tc>
      </w:tr>
      <w:tr w:rsidR="006C22A5" w:rsidRPr="003D4CB9" w:rsidTr="00F6202A">
        <w:tc>
          <w:tcPr>
            <w:tcW w:w="4677" w:type="dxa"/>
          </w:tcPr>
          <w:p w:rsidR="006C22A5" w:rsidRPr="00CA2992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Persons of contact for the trade press</w:t>
            </w:r>
          </w:p>
          <w:p w:rsidR="006C22A5" w:rsidRPr="00C46426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C46426">
              <w:rPr>
                <w:sz w:val="20"/>
                <w:szCs w:val="20"/>
                <w:lang w:val="de-DE"/>
              </w:rPr>
              <w:t>Frank Muthmann</w:t>
            </w:r>
          </w:p>
          <w:p w:rsidR="006C22A5" w:rsidRPr="00C46426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C46426">
              <w:rPr>
                <w:sz w:val="20"/>
                <w:szCs w:val="20"/>
                <w:lang w:val="de-DE"/>
              </w:rPr>
              <w:t>DR. JOHANNES HEIDENHAIN GmbH</w:t>
            </w:r>
          </w:p>
          <w:p w:rsidR="006C22A5" w:rsidRPr="00CA2992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83292 </w:t>
            </w:r>
            <w:proofErr w:type="spellStart"/>
            <w:r>
              <w:rPr>
                <w:sz w:val="20"/>
                <w:szCs w:val="20"/>
              </w:rPr>
              <w:t>Traunreut</w:t>
            </w:r>
            <w:proofErr w:type="spellEnd"/>
            <w:r>
              <w:rPr>
                <w:sz w:val="20"/>
                <w:szCs w:val="20"/>
              </w:rPr>
              <w:t>, GERMANY</w:t>
            </w:r>
          </w:p>
          <w:p w:rsidR="006C22A5" w:rsidRPr="00CA2992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Tel.: +49 8669 31-2188</w:t>
            </w:r>
          </w:p>
          <w:p w:rsidR="006C22A5" w:rsidRPr="00CA2992" w:rsidRDefault="00CF2D57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FF"/>
                <w:sz w:val="20"/>
                <w:szCs w:val="20"/>
                <w:u w:val="single"/>
              </w:rPr>
            </w:pPr>
            <w:hyperlink r:id="rId17" w:history="1">
              <w:r w:rsidR="00B25724">
                <w:rPr>
                  <w:rStyle w:val="Hyperlink"/>
                  <w:sz w:val="20"/>
                  <w:szCs w:val="20"/>
                </w:rPr>
                <w:t>muthmann@heidenhain.de</w:t>
              </w:r>
            </w:hyperlink>
          </w:p>
        </w:tc>
        <w:tc>
          <w:tcPr>
            <w:tcW w:w="4677" w:type="dxa"/>
          </w:tcPr>
          <w:p w:rsidR="006C22A5" w:rsidRPr="00C46426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</w:p>
          <w:p w:rsidR="006C22A5" w:rsidRPr="00C46426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C46426">
              <w:rPr>
                <w:sz w:val="20"/>
                <w:szCs w:val="20"/>
                <w:lang w:val="de-DE"/>
              </w:rPr>
              <w:t>Ulrich Poestgens</w:t>
            </w:r>
          </w:p>
          <w:p w:rsidR="006C22A5" w:rsidRPr="00C46426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  <w:lang w:val="de-DE"/>
              </w:rPr>
            </w:pPr>
            <w:r w:rsidRPr="00C46426">
              <w:rPr>
                <w:sz w:val="20"/>
                <w:szCs w:val="20"/>
                <w:lang w:val="de-DE"/>
              </w:rPr>
              <w:t>DR. JOHANNES HEIDENHAIN GmbH</w:t>
            </w:r>
          </w:p>
          <w:p w:rsidR="006C22A5" w:rsidRPr="003D4CB9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83292 </w:t>
            </w:r>
            <w:proofErr w:type="spellStart"/>
            <w:r>
              <w:rPr>
                <w:sz w:val="20"/>
                <w:szCs w:val="20"/>
              </w:rPr>
              <w:t>Traunreut</w:t>
            </w:r>
            <w:proofErr w:type="spellEnd"/>
            <w:r>
              <w:rPr>
                <w:sz w:val="20"/>
                <w:szCs w:val="20"/>
              </w:rPr>
              <w:t>, GERMANY</w:t>
            </w:r>
          </w:p>
          <w:p w:rsidR="006C22A5" w:rsidRPr="003D4CB9" w:rsidRDefault="006C22A5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Tel.: +49 8669 31-4154</w:t>
            </w:r>
          </w:p>
          <w:p w:rsidR="006C22A5" w:rsidRPr="00696528" w:rsidRDefault="00CF2D57" w:rsidP="006C22A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hyperlink r:id="rId18" w:history="1">
              <w:r w:rsidR="00B25724">
                <w:rPr>
                  <w:rStyle w:val="Hyperlink"/>
                  <w:sz w:val="20"/>
                  <w:szCs w:val="20"/>
                </w:rPr>
                <w:t>poestgens@heidenhain.de</w:t>
              </w:r>
            </w:hyperlink>
          </w:p>
        </w:tc>
      </w:tr>
    </w:tbl>
    <w:p w:rsidR="00696528" w:rsidRDefault="00696528" w:rsidP="006C22A5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sectPr w:rsidR="00696528" w:rsidSect="006C22A5">
      <w:headerReference w:type="default" r:id="rId19"/>
      <w:footerReference w:type="default" r:id="rId20"/>
      <w:pgSz w:w="11907" w:h="16840" w:code="9"/>
      <w:pgMar w:top="1701" w:right="1418" w:bottom="680" w:left="1418" w:header="567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724" w:rsidRDefault="00B25724" w:rsidP="0091430D">
      <w:r>
        <w:separator/>
      </w:r>
    </w:p>
  </w:endnote>
  <w:endnote w:type="continuationSeparator" w:id="0">
    <w:p w:rsidR="00B25724" w:rsidRDefault="00B25724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A84B3D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October 2021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FF0557">
          <w:rPr>
            <w:noProof/>
            <w:sz w:val="20"/>
          </w:rPr>
          <w:t>4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724" w:rsidRDefault="00B25724" w:rsidP="0091430D">
      <w:r>
        <w:separator/>
      </w:r>
    </w:p>
  </w:footnote>
  <w:footnote w:type="continuationSeparator" w:id="0">
    <w:p w:rsidR="00B25724" w:rsidRDefault="00B25724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  <w:lang w:val="de-DE" w:eastAsia="de-DE"/>
      </w:rPr>
      <w:drawing>
        <wp:inline distT="0" distB="0" distL="0" distR="0" wp14:anchorId="03EA5ADC" wp14:editId="50AC5036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83851"/>
    <w:multiLevelType w:val="hybridMultilevel"/>
    <w:tmpl w:val="87FEB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45130"/>
    <w:rsid w:val="00046798"/>
    <w:rsid w:val="00046E42"/>
    <w:rsid w:val="0005391D"/>
    <w:rsid w:val="00061D94"/>
    <w:rsid w:val="00075EE6"/>
    <w:rsid w:val="00084A5C"/>
    <w:rsid w:val="000918CA"/>
    <w:rsid w:val="000C3F0E"/>
    <w:rsid w:val="000C66E8"/>
    <w:rsid w:val="000E696D"/>
    <w:rsid w:val="00106AEA"/>
    <w:rsid w:val="001076B5"/>
    <w:rsid w:val="001343DE"/>
    <w:rsid w:val="001618E2"/>
    <w:rsid w:val="00167708"/>
    <w:rsid w:val="001814BA"/>
    <w:rsid w:val="00183B00"/>
    <w:rsid w:val="001938A0"/>
    <w:rsid w:val="001A4344"/>
    <w:rsid w:val="001A68BD"/>
    <w:rsid w:val="001B6D6B"/>
    <w:rsid w:val="001B7062"/>
    <w:rsid w:val="001C6F6E"/>
    <w:rsid w:val="002110ED"/>
    <w:rsid w:val="00212759"/>
    <w:rsid w:val="00263D2D"/>
    <w:rsid w:val="002667D8"/>
    <w:rsid w:val="00274423"/>
    <w:rsid w:val="00274FE0"/>
    <w:rsid w:val="00281C45"/>
    <w:rsid w:val="0028442E"/>
    <w:rsid w:val="00290658"/>
    <w:rsid w:val="002A4DA5"/>
    <w:rsid w:val="002B4166"/>
    <w:rsid w:val="002C345D"/>
    <w:rsid w:val="002D51E3"/>
    <w:rsid w:val="003150E3"/>
    <w:rsid w:val="00324786"/>
    <w:rsid w:val="003257D4"/>
    <w:rsid w:val="003259E8"/>
    <w:rsid w:val="003261A3"/>
    <w:rsid w:val="003263E6"/>
    <w:rsid w:val="00335013"/>
    <w:rsid w:val="00337139"/>
    <w:rsid w:val="0034317A"/>
    <w:rsid w:val="00351F66"/>
    <w:rsid w:val="003555A6"/>
    <w:rsid w:val="003566B6"/>
    <w:rsid w:val="00375378"/>
    <w:rsid w:val="003754AA"/>
    <w:rsid w:val="00377391"/>
    <w:rsid w:val="0038307A"/>
    <w:rsid w:val="0038317E"/>
    <w:rsid w:val="003866E3"/>
    <w:rsid w:val="0039200C"/>
    <w:rsid w:val="003A7BBA"/>
    <w:rsid w:val="003B2AD8"/>
    <w:rsid w:val="003B6E84"/>
    <w:rsid w:val="003C11A0"/>
    <w:rsid w:val="003D4CB9"/>
    <w:rsid w:val="003D7E41"/>
    <w:rsid w:val="003E0B6D"/>
    <w:rsid w:val="003E417B"/>
    <w:rsid w:val="003F0B65"/>
    <w:rsid w:val="003F32BD"/>
    <w:rsid w:val="003F6B54"/>
    <w:rsid w:val="0041650E"/>
    <w:rsid w:val="004318A8"/>
    <w:rsid w:val="00431A5E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5465"/>
    <w:rsid w:val="004818D0"/>
    <w:rsid w:val="0049111D"/>
    <w:rsid w:val="004A010A"/>
    <w:rsid w:val="004A57F3"/>
    <w:rsid w:val="004A605C"/>
    <w:rsid w:val="004C3052"/>
    <w:rsid w:val="004D3DA1"/>
    <w:rsid w:val="004D719F"/>
    <w:rsid w:val="004E0C73"/>
    <w:rsid w:val="004E0D31"/>
    <w:rsid w:val="004F0053"/>
    <w:rsid w:val="004F6CE3"/>
    <w:rsid w:val="005153F0"/>
    <w:rsid w:val="00521B4C"/>
    <w:rsid w:val="0053234F"/>
    <w:rsid w:val="005516FA"/>
    <w:rsid w:val="00560B58"/>
    <w:rsid w:val="00586C01"/>
    <w:rsid w:val="005915F6"/>
    <w:rsid w:val="00593634"/>
    <w:rsid w:val="005A1218"/>
    <w:rsid w:val="005B152F"/>
    <w:rsid w:val="005B3F5F"/>
    <w:rsid w:val="005B4D50"/>
    <w:rsid w:val="005B5DBD"/>
    <w:rsid w:val="005C7C77"/>
    <w:rsid w:val="005D5128"/>
    <w:rsid w:val="005E2BFB"/>
    <w:rsid w:val="005F2AF0"/>
    <w:rsid w:val="00616166"/>
    <w:rsid w:val="006355EE"/>
    <w:rsid w:val="00635D3B"/>
    <w:rsid w:val="00643ACC"/>
    <w:rsid w:val="00652C63"/>
    <w:rsid w:val="006577EB"/>
    <w:rsid w:val="00661039"/>
    <w:rsid w:val="00685A38"/>
    <w:rsid w:val="00696528"/>
    <w:rsid w:val="006B23F0"/>
    <w:rsid w:val="006B3CB1"/>
    <w:rsid w:val="006B3D39"/>
    <w:rsid w:val="006B4F68"/>
    <w:rsid w:val="006C0084"/>
    <w:rsid w:val="006C22A5"/>
    <w:rsid w:val="006C641E"/>
    <w:rsid w:val="006D3EBC"/>
    <w:rsid w:val="006D4E4B"/>
    <w:rsid w:val="006E1F8C"/>
    <w:rsid w:val="006F3E0F"/>
    <w:rsid w:val="006F41B7"/>
    <w:rsid w:val="006F4F9C"/>
    <w:rsid w:val="00706824"/>
    <w:rsid w:val="00744603"/>
    <w:rsid w:val="00750D1A"/>
    <w:rsid w:val="00756EE4"/>
    <w:rsid w:val="007677D4"/>
    <w:rsid w:val="00771DB3"/>
    <w:rsid w:val="0078495B"/>
    <w:rsid w:val="0079517F"/>
    <w:rsid w:val="007956E2"/>
    <w:rsid w:val="0079650B"/>
    <w:rsid w:val="00796ECD"/>
    <w:rsid w:val="00796FDF"/>
    <w:rsid w:val="007A4345"/>
    <w:rsid w:val="007A4F06"/>
    <w:rsid w:val="007C1A90"/>
    <w:rsid w:val="007C4DC3"/>
    <w:rsid w:val="007C7E21"/>
    <w:rsid w:val="007E0104"/>
    <w:rsid w:val="007F7AE1"/>
    <w:rsid w:val="00802E48"/>
    <w:rsid w:val="00814F20"/>
    <w:rsid w:val="00832D8D"/>
    <w:rsid w:val="0083380B"/>
    <w:rsid w:val="008407A8"/>
    <w:rsid w:val="00843288"/>
    <w:rsid w:val="008500A1"/>
    <w:rsid w:val="008518F6"/>
    <w:rsid w:val="008603F3"/>
    <w:rsid w:val="00865838"/>
    <w:rsid w:val="00866D02"/>
    <w:rsid w:val="0088056E"/>
    <w:rsid w:val="008806CC"/>
    <w:rsid w:val="008808DE"/>
    <w:rsid w:val="008871B4"/>
    <w:rsid w:val="008915F3"/>
    <w:rsid w:val="008A6540"/>
    <w:rsid w:val="008A68D9"/>
    <w:rsid w:val="008E17E1"/>
    <w:rsid w:val="008E584F"/>
    <w:rsid w:val="008F402C"/>
    <w:rsid w:val="00904E51"/>
    <w:rsid w:val="00913BE7"/>
    <w:rsid w:val="0091430D"/>
    <w:rsid w:val="009169C2"/>
    <w:rsid w:val="00921FB5"/>
    <w:rsid w:val="0093370F"/>
    <w:rsid w:val="00942DD4"/>
    <w:rsid w:val="00942F78"/>
    <w:rsid w:val="009442FE"/>
    <w:rsid w:val="00951569"/>
    <w:rsid w:val="00952CA1"/>
    <w:rsid w:val="0095347A"/>
    <w:rsid w:val="0096312C"/>
    <w:rsid w:val="00963479"/>
    <w:rsid w:val="00964FC8"/>
    <w:rsid w:val="009733AE"/>
    <w:rsid w:val="00975A0B"/>
    <w:rsid w:val="00982455"/>
    <w:rsid w:val="009B379B"/>
    <w:rsid w:val="009C6BF8"/>
    <w:rsid w:val="009D15B9"/>
    <w:rsid w:val="009D5CDA"/>
    <w:rsid w:val="00A229D7"/>
    <w:rsid w:val="00A26F2B"/>
    <w:rsid w:val="00A324BC"/>
    <w:rsid w:val="00A36219"/>
    <w:rsid w:val="00A518A1"/>
    <w:rsid w:val="00A60CD1"/>
    <w:rsid w:val="00A62B93"/>
    <w:rsid w:val="00A713A0"/>
    <w:rsid w:val="00A83AA1"/>
    <w:rsid w:val="00A84B3D"/>
    <w:rsid w:val="00A93A28"/>
    <w:rsid w:val="00AA7AD2"/>
    <w:rsid w:val="00AA7CBE"/>
    <w:rsid w:val="00AB2D9D"/>
    <w:rsid w:val="00AE0389"/>
    <w:rsid w:val="00AE2D1E"/>
    <w:rsid w:val="00AE3086"/>
    <w:rsid w:val="00AF23A8"/>
    <w:rsid w:val="00AF30BC"/>
    <w:rsid w:val="00AF5755"/>
    <w:rsid w:val="00B10896"/>
    <w:rsid w:val="00B12E17"/>
    <w:rsid w:val="00B17B48"/>
    <w:rsid w:val="00B25724"/>
    <w:rsid w:val="00B60B8D"/>
    <w:rsid w:val="00B62AB4"/>
    <w:rsid w:val="00B64F03"/>
    <w:rsid w:val="00B6511B"/>
    <w:rsid w:val="00B65E49"/>
    <w:rsid w:val="00B92F2C"/>
    <w:rsid w:val="00BA0BD4"/>
    <w:rsid w:val="00BA426A"/>
    <w:rsid w:val="00BA48BF"/>
    <w:rsid w:val="00BB1CBB"/>
    <w:rsid w:val="00BB6E04"/>
    <w:rsid w:val="00BB755F"/>
    <w:rsid w:val="00BC152E"/>
    <w:rsid w:val="00BD0A7A"/>
    <w:rsid w:val="00BD1D5C"/>
    <w:rsid w:val="00BE2B95"/>
    <w:rsid w:val="00BF340B"/>
    <w:rsid w:val="00BF4098"/>
    <w:rsid w:val="00BF47F6"/>
    <w:rsid w:val="00BF4C79"/>
    <w:rsid w:val="00C061BC"/>
    <w:rsid w:val="00C0743C"/>
    <w:rsid w:val="00C21CBA"/>
    <w:rsid w:val="00C24CB4"/>
    <w:rsid w:val="00C27FD1"/>
    <w:rsid w:val="00C303B3"/>
    <w:rsid w:val="00C35316"/>
    <w:rsid w:val="00C36CB1"/>
    <w:rsid w:val="00C40AB9"/>
    <w:rsid w:val="00C46426"/>
    <w:rsid w:val="00C46F38"/>
    <w:rsid w:val="00C568ED"/>
    <w:rsid w:val="00C608DE"/>
    <w:rsid w:val="00C62A38"/>
    <w:rsid w:val="00C70D7B"/>
    <w:rsid w:val="00C7255F"/>
    <w:rsid w:val="00C76A4D"/>
    <w:rsid w:val="00C808A0"/>
    <w:rsid w:val="00C81461"/>
    <w:rsid w:val="00C96C4D"/>
    <w:rsid w:val="00CA2992"/>
    <w:rsid w:val="00CA3A20"/>
    <w:rsid w:val="00CB03FD"/>
    <w:rsid w:val="00CB1992"/>
    <w:rsid w:val="00CB2B90"/>
    <w:rsid w:val="00CC6DF0"/>
    <w:rsid w:val="00CD4796"/>
    <w:rsid w:val="00CD71D4"/>
    <w:rsid w:val="00CE6C7B"/>
    <w:rsid w:val="00CF3031"/>
    <w:rsid w:val="00CF60D4"/>
    <w:rsid w:val="00CF6546"/>
    <w:rsid w:val="00D10BC2"/>
    <w:rsid w:val="00D14166"/>
    <w:rsid w:val="00D14601"/>
    <w:rsid w:val="00D1480C"/>
    <w:rsid w:val="00D17E78"/>
    <w:rsid w:val="00D2252D"/>
    <w:rsid w:val="00D32474"/>
    <w:rsid w:val="00D43AD5"/>
    <w:rsid w:val="00D45A00"/>
    <w:rsid w:val="00D527D5"/>
    <w:rsid w:val="00D60668"/>
    <w:rsid w:val="00D622C6"/>
    <w:rsid w:val="00D713A0"/>
    <w:rsid w:val="00D87B41"/>
    <w:rsid w:val="00D9586D"/>
    <w:rsid w:val="00D96114"/>
    <w:rsid w:val="00DA1D6D"/>
    <w:rsid w:val="00DE36FF"/>
    <w:rsid w:val="00E0475C"/>
    <w:rsid w:val="00E06DD0"/>
    <w:rsid w:val="00E22AC1"/>
    <w:rsid w:val="00E2679F"/>
    <w:rsid w:val="00E302A0"/>
    <w:rsid w:val="00E32A68"/>
    <w:rsid w:val="00E4331D"/>
    <w:rsid w:val="00E43981"/>
    <w:rsid w:val="00E54940"/>
    <w:rsid w:val="00E80B0E"/>
    <w:rsid w:val="00E82990"/>
    <w:rsid w:val="00E87DA6"/>
    <w:rsid w:val="00E951C2"/>
    <w:rsid w:val="00E97915"/>
    <w:rsid w:val="00EA0DB8"/>
    <w:rsid w:val="00EA5046"/>
    <w:rsid w:val="00EC47D1"/>
    <w:rsid w:val="00ED049A"/>
    <w:rsid w:val="00ED2BF2"/>
    <w:rsid w:val="00F070B5"/>
    <w:rsid w:val="00F1013B"/>
    <w:rsid w:val="00F14D45"/>
    <w:rsid w:val="00F16270"/>
    <w:rsid w:val="00F23403"/>
    <w:rsid w:val="00F24B38"/>
    <w:rsid w:val="00F2757E"/>
    <w:rsid w:val="00F310C4"/>
    <w:rsid w:val="00F31938"/>
    <w:rsid w:val="00F3776E"/>
    <w:rsid w:val="00F432DE"/>
    <w:rsid w:val="00F438BA"/>
    <w:rsid w:val="00F454C6"/>
    <w:rsid w:val="00F51356"/>
    <w:rsid w:val="00F60FF8"/>
    <w:rsid w:val="00F7592E"/>
    <w:rsid w:val="00F76A7E"/>
    <w:rsid w:val="00F7761E"/>
    <w:rsid w:val="00F84138"/>
    <w:rsid w:val="00F84761"/>
    <w:rsid w:val="00F92845"/>
    <w:rsid w:val="00F93C3C"/>
    <w:rsid w:val="00F9724F"/>
    <w:rsid w:val="00FB5B37"/>
    <w:rsid w:val="00FC07F4"/>
    <w:rsid w:val="00FE5F04"/>
    <w:rsid w:val="00FF0557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74F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74F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74FE0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4F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4FE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mailto:poestgens@heidenhain.d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mailto:muthmann@heidenhain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eidenhain.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live.heidenhain.com/index.html" TargetMode="Externa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6F429-2A35-4FCC-B864-7787D0296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7174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2</cp:revision>
  <cp:lastPrinted>2021-10-01T11:46:00Z</cp:lastPrinted>
  <dcterms:created xsi:type="dcterms:W3CDTF">2021-10-01T12:18:00Z</dcterms:created>
  <dcterms:modified xsi:type="dcterms:W3CDTF">2021-10-01T12:18:00Z</dcterms:modified>
</cp:coreProperties>
</file>